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1AF3" w14:textId="77777777" w:rsidR="00000000" w:rsidRPr="009B5728" w:rsidRDefault="00000000" w:rsidP="00A67176">
      <w:pPr>
        <w:ind w:left="540" w:right="2759"/>
        <w:rPr>
          <w:b/>
          <w:color w:val="AF272F"/>
          <w:sz w:val="44"/>
          <w:szCs w:val="44"/>
          <w:lang w:val="en-AU"/>
        </w:rPr>
      </w:pPr>
      <w:r w:rsidRPr="009B5728">
        <w:rPr>
          <w:b/>
          <w:color w:val="AF272F"/>
          <w:sz w:val="36"/>
          <w:szCs w:val="44"/>
          <w:lang w:val="en-AU"/>
        </w:rPr>
        <w:t xml:space="preserve">Self-evaluation </w:t>
      </w:r>
      <w:r w:rsidRPr="009B5728">
        <w:rPr>
          <w:b/>
          <w:color w:val="AF272F"/>
          <w:sz w:val="36"/>
          <w:szCs w:val="44"/>
          <w:lang w:val="en-AU"/>
        </w:rPr>
        <w:t>summary</w:t>
      </w:r>
    </w:p>
    <w:p w14:paraId="69BECD1E" w14:textId="77777777" w:rsidR="00000000" w:rsidRPr="009B5728" w:rsidRDefault="00000000" w:rsidP="00A67176">
      <w:pPr>
        <w:pStyle w:val="ESIntroParagraph"/>
        <w:ind w:left="-567" w:right="4330" w:firstLine="1107"/>
        <w:rPr>
          <w:color w:val="595959" w:themeColor="text1" w:themeTint="A6"/>
          <w:lang w:val="en-AU"/>
        </w:rPr>
      </w:pPr>
      <w:r w:rsidRPr="009B5728">
        <w:rPr>
          <w:noProof/>
          <w:color w:val="595959" w:themeColor="text1" w:themeTint="A6"/>
          <w:lang w:val="en-AU"/>
        </w:rPr>
        <w:t>Thomas Mitchell Primary School (5294)</w:t>
      </w:r>
    </w:p>
    <w:p w14:paraId="57CFE704" w14:textId="77777777" w:rsidR="00000000" w:rsidRPr="009B5728" w:rsidRDefault="00000000" w:rsidP="00715EBF">
      <w:pPr>
        <w:pStyle w:val="ESIntroParagraph"/>
        <w:ind w:right="4330"/>
        <w:rPr>
          <w:lang w:val="en-AU"/>
        </w:rPr>
      </w:pPr>
    </w:p>
    <w:p w14:paraId="5DDE6C9A" w14:textId="77777777" w:rsidR="00000000" w:rsidRPr="009B5728" w:rsidRDefault="00000000" w:rsidP="00715EBF">
      <w:pPr>
        <w:pStyle w:val="Heading1"/>
        <w:ind w:left="-567" w:firstLine="567"/>
        <w:rPr>
          <w:lang w:val="en-AU"/>
        </w:rPr>
      </w:pPr>
    </w:p>
    <w:p w14:paraId="38F93C38" w14:textId="77777777" w:rsidR="00000000" w:rsidRPr="009B5728" w:rsidRDefault="00000000" w:rsidP="00895870">
      <w:pPr>
        <w:pStyle w:val="ESHeading2"/>
        <w:rPr>
          <w:lang w:val="en-AU"/>
        </w:rPr>
      </w:pPr>
    </w:p>
    <w:p w14:paraId="4C87F5E0" w14:textId="77777777" w:rsidR="00000000" w:rsidRPr="009B5728" w:rsidRDefault="00000000" w:rsidP="00895870">
      <w:pPr>
        <w:pStyle w:val="ESHeading2"/>
        <w:rPr>
          <w:lang w:val="en-AU"/>
        </w:rPr>
      </w:pPr>
    </w:p>
    <w:p w14:paraId="16F081CC" w14:textId="77777777" w:rsidR="00000000" w:rsidRPr="009B5728" w:rsidRDefault="00000000" w:rsidP="00895870">
      <w:pPr>
        <w:pStyle w:val="ESHeading2"/>
        <w:rPr>
          <w:lang w:val="en-AU"/>
        </w:rPr>
      </w:pPr>
    </w:p>
    <w:p w14:paraId="23B02669" w14:textId="77777777" w:rsidR="00000000" w:rsidRPr="009B5728" w:rsidRDefault="00000000" w:rsidP="00895870">
      <w:pPr>
        <w:pStyle w:val="ESHeading2"/>
        <w:rPr>
          <w:lang w:val="en-AU"/>
        </w:rPr>
      </w:pPr>
    </w:p>
    <w:p w14:paraId="37BE3F92" w14:textId="77777777" w:rsidR="00000000" w:rsidRPr="009B5728" w:rsidRDefault="00000000" w:rsidP="00CB0768">
      <w:pPr>
        <w:pStyle w:val="ESHeading2"/>
        <w:jc w:val="center"/>
        <w:rPr>
          <w:lang w:val="en-AU"/>
        </w:rPr>
      </w:pPr>
      <w:r w:rsidRPr="009B5728">
        <w:rPr>
          <w:b w:val="0"/>
          <w:noProof/>
          <w:sz w:val="44"/>
          <w:szCs w:val="44"/>
          <w:lang w:val="en-AU"/>
        </w:rPr>
        <w:drawing>
          <wp:anchor distT="0" distB="0" distL="114300" distR="114300" simplePos="0" relativeHeight="251658240" behindDoc="1" locked="0" layoutInCell="1" allowOverlap="1" wp14:anchorId="750E7FA1" wp14:editId="4843448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81050" cy="504825"/>
            <wp:effectExtent l="0" t="0" r="0" b="0"/>
            <wp:wrapNone/>
            <wp:docPr id="100017" name="Picture 100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98B13" w14:textId="77777777" w:rsidR="00000000" w:rsidRPr="009B5728" w:rsidRDefault="00000000" w:rsidP="00B669ED">
      <w:pPr>
        <w:pStyle w:val="ESHeading2"/>
        <w:rPr>
          <w:lang w:val="en-AU"/>
        </w:rPr>
        <w:sectPr w:rsidR="00CB0768" w:rsidRPr="009B5728" w:rsidSect="00B2115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005" w:right="737" w:bottom="1304" w:left="562" w:header="624" w:footer="1134" w:gutter="0"/>
          <w:cols w:space="397"/>
          <w:docGrid w:linePitch="360"/>
        </w:sectPr>
      </w:pPr>
      <w:r w:rsidRPr="009B5728"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 wp14:anchorId="57A84DB3" wp14:editId="6EB9AC62">
                <wp:simplePos x="0" y="0"/>
                <wp:positionH relativeFrom="margin">
                  <wp:posOffset>100330</wp:posOffset>
                </wp:positionH>
                <wp:positionV relativeFrom="bottomMargin">
                  <wp:posOffset>-1260475</wp:posOffset>
                </wp:positionV>
                <wp:extent cx="9773920" cy="1134110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B6CA" w14:textId="77777777" w:rsidR="00000000" w:rsidRDefault="00000000" w:rsidP="009F3FEC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Kathie Arnold (School Principal) on 11 February, 2025 at 05:37 PM</w:t>
                            </w:r>
                            <w:r>
                              <w:rPr>
                                <w:noProof/>
                              </w:rPr>
                              <w:br/>
                              <w:t>Endorsed by Michaela Cole (Senior Education Improvement Leader) on 23 February, 2025 at 05:49 PM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89.3pt;margin-left:7.9pt;margin-top:-99.25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769.6pt;z-index:-251657216" fillcolor="white" stroked="f" strokeweight="0.75pt">
                <v:stroke joinstyle="miter"/>
                <v:textbox>
                  <w:txbxContent>
                    <w:p w:rsidR="009F3FEC" w:rsidP="009F3FEC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Kathie Arnold (School Principal) on 11 February, 2025 at 05:37 PM</w:t>
                        <w:br/>
                        <w:t>Endorsed by Michaela Cole (Senior Education Improvement Leader) on 23 February, 2025 at 05:49 PM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557912DF" w14:textId="77777777" w:rsidR="00000000" w:rsidRPr="009B5728" w:rsidRDefault="00000000" w:rsidP="005157E3">
      <w:pPr>
        <w:ind w:left="-450" w:right="2759"/>
        <w:rPr>
          <w:b/>
          <w:color w:val="AF272F"/>
          <w:sz w:val="36"/>
          <w:szCs w:val="44"/>
          <w:lang w:val="en-AU"/>
        </w:rPr>
      </w:pPr>
      <w:r w:rsidRPr="009B5728">
        <w:rPr>
          <w:b/>
          <w:color w:val="AF272F"/>
          <w:sz w:val="36"/>
          <w:szCs w:val="44"/>
          <w:lang w:val="en-AU"/>
        </w:rPr>
        <w:lastRenderedPageBreak/>
        <w:t xml:space="preserve">Self-evaluation </w:t>
      </w:r>
      <w:r w:rsidRPr="009B5728">
        <w:rPr>
          <w:b/>
          <w:color w:val="AF272F"/>
          <w:sz w:val="36"/>
          <w:szCs w:val="44"/>
          <w:lang w:val="en-AU"/>
        </w:rPr>
        <w:t>summary</w:t>
      </w:r>
    </w:p>
    <w:p w14:paraId="20D5CCFB" w14:textId="77777777" w:rsidR="00000000" w:rsidRPr="009B5728" w:rsidRDefault="00000000" w:rsidP="00715EBF">
      <w:pPr>
        <w:pStyle w:val="ESIntroParagraph"/>
        <w:ind w:left="-450" w:right="4330" w:firstLine="450"/>
        <w:rPr>
          <w:color w:val="auto"/>
          <w:sz w:val="18"/>
          <w:szCs w:val="18"/>
          <w:lang w:val="en-AU"/>
        </w:rPr>
      </w:pPr>
    </w:p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83140F" w14:paraId="07A6DC74" w14:textId="77777777" w:rsidTr="00DB592D">
        <w:trPr>
          <w:trHeight w:val="515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5761A" w14:textId="77777777" w:rsidR="00000000" w:rsidRPr="009B5728" w:rsidRDefault="00000000" w:rsidP="000F7465">
            <w:pPr>
              <w:pStyle w:val="Heading3"/>
              <w:spacing w:before="0" w:after="0"/>
              <w:ind w:right="-374"/>
              <w:rPr>
                <w:szCs w:val="24"/>
                <w:lang w:val="en-AU"/>
              </w:rPr>
            </w:pPr>
            <w:bookmarkStart w:id="0" w:name="_Hlk147390785"/>
          </w:p>
        </w:tc>
        <w:tc>
          <w:tcPr>
            <w:tcW w:w="6457" w:type="dxa"/>
            <w:shd w:val="clear" w:color="auto" w:fill="D9D9D9" w:themeFill="background1" w:themeFillShade="D9"/>
          </w:tcPr>
          <w:p w14:paraId="493090C5" w14:textId="77777777" w:rsidR="0083140F" w:rsidRDefault="00000000">
            <w:r>
              <w:rPr>
                <w:rFonts w:eastAsia="Arial"/>
                <w:b/>
                <w:sz w:val="22"/>
              </w:rPr>
              <w:t>FISO 2.0 outcomes</w:t>
            </w:r>
          </w:p>
        </w:tc>
        <w:tc>
          <w:tcPr>
            <w:tcW w:w="6966" w:type="dxa"/>
            <w:shd w:val="clear" w:color="auto" w:fill="D9D9D9" w:themeFill="background1" w:themeFillShade="D9"/>
          </w:tcPr>
          <w:p w14:paraId="672EC0C9" w14:textId="77777777" w:rsidR="00000000" w:rsidRPr="009B5728" w:rsidRDefault="00000000" w:rsidP="000F7465">
            <w:pPr>
              <w:pStyle w:val="Heading3"/>
              <w:spacing w:before="0" w:after="0"/>
              <w:ind w:right="-374"/>
              <w:rPr>
                <w:szCs w:val="24"/>
                <w:lang w:val="en-AU"/>
              </w:rPr>
            </w:pPr>
            <w:r w:rsidRPr="009B5728">
              <w:rPr>
                <w:szCs w:val="24"/>
                <w:lang w:val="en-AU"/>
              </w:rPr>
              <w:t xml:space="preserve">Self-evaluation </w:t>
            </w:r>
            <w:r w:rsidRPr="009B5728">
              <w:rPr>
                <w:szCs w:val="24"/>
                <w:lang w:val="en-AU"/>
              </w:rPr>
              <w:t>level</w:t>
            </w:r>
          </w:p>
        </w:tc>
      </w:tr>
      <w:tr w:rsidR="0083140F" w14:paraId="69C15A94" w14:textId="77777777" w:rsidTr="007D6A36">
        <w:trPr>
          <w:cantSplit/>
          <w:trHeight w:val="101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004C97"/>
          </w:tcPr>
          <w:p w14:paraId="2764042A" w14:textId="77777777" w:rsidR="00000000" w:rsidRPr="009B5728" w:rsidRDefault="00000000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FFFFFF"/>
                <w:sz w:val="24"/>
                <w:szCs w:val="24"/>
                <w:lang w:val="en-AU"/>
              </w:rPr>
              <w:t>Learning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430097AC" w14:textId="77777777" w:rsidR="0083140F" w:rsidRDefault="00000000">
            <w:r>
              <w:rPr>
                <w:rFonts w:eastAsia="Arial"/>
                <w:sz w:val="22"/>
              </w:rPr>
              <w:t>Learning is the ongoing acquisition by students of knowledge, skills and capabilities, including those defined by the Victorian Curriculum and senior secondary pathways.</w:t>
            </w:r>
          </w:p>
        </w:tc>
        <w:tc>
          <w:tcPr>
            <w:tcW w:w="6966" w:type="dxa"/>
            <w:vAlign w:val="center"/>
          </w:tcPr>
          <w:p w14:paraId="08C78837" w14:textId="77777777" w:rsidR="0083140F" w:rsidRDefault="00000000">
            <w:r>
              <w:rPr>
                <w:rFonts w:eastAsia="Arial"/>
                <w:sz w:val="22"/>
              </w:rPr>
              <w:t>Excelling</w:t>
            </w:r>
          </w:p>
        </w:tc>
      </w:tr>
      <w:bookmarkEnd w:id="0"/>
    </w:tbl>
    <w:p w14:paraId="39BCCD3D" w14:textId="77777777" w:rsidR="00000000" w:rsidRPr="009B5728" w:rsidRDefault="00000000" w:rsidP="006E1708">
      <w:pPr>
        <w:pStyle w:val="ESBodyText"/>
        <w:rPr>
          <w:lang w:val="en-AU"/>
        </w:rPr>
      </w:pPr>
    </w:p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83140F" w14:paraId="03919DEC" w14:textId="77777777" w:rsidTr="007D6A36">
        <w:trPr>
          <w:cantSplit/>
          <w:trHeight w:val="101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004C97"/>
          </w:tcPr>
          <w:p w14:paraId="1B1A5F1A" w14:textId="77777777" w:rsidR="00000000" w:rsidRPr="009B5728" w:rsidRDefault="00000000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FFFFFF"/>
                <w:sz w:val="24"/>
                <w:szCs w:val="24"/>
                <w:lang w:val="en-AU"/>
              </w:rPr>
              <w:t>Wellbeing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5DBF15ED" w14:textId="77777777" w:rsidR="0083140F" w:rsidRDefault="00000000">
            <w:r>
              <w:rPr>
                <w:rFonts w:eastAsia="Arial"/>
                <w:sz w:val="22"/>
              </w:rPr>
              <w:t>Wellbeing is the development of the capabilities necessary to thrive, contribute and respond positively to challenges and opportunities of life.</w:t>
            </w:r>
          </w:p>
        </w:tc>
        <w:tc>
          <w:tcPr>
            <w:tcW w:w="6966" w:type="dxa"/>
            <w:vAlign w:val="center"/>
          </w:tcPr>
          <w:p w14:paraId="06B908C2" w14:textId="77777777" w:rsidR="0083140F" w:rsidRDefault="00000000">
            <w:r>
              <w:rPr>
                <w:rFonts w:eastAsia="Arial"/>
                <w:sz w:val="22"/>
              </w:rPr>
              <w:t>Embedding</w:t>
            </w:r>
          </w:p>
        </w:tc>
      </w:tr>
    </w:tbl>
    <w:p w14:paraId="046416FE" w14:textId="77777777" w:rsidR="0083140F" w:rsidRDefault="0083140F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83140F" w14:paraId="515541EB" w14:textId="77777777" w:rsidTr="00DB592D">
        <w:trPr>
          <w:trHeight w:val="515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D2C0DA" w14:textId="77777777" w:rsidR="00000000" w:rsidRPr="009B5728" w:rsidRDefault="00000000" w:rsidP="000F7465">
            <w:pPr>
              <w:pStyle w:val="Heading3"/>
              <w:spacing w:before="0" w:after="0"/>
              <w:ind w:right="-374"/>
              <w:rPr>
                <w:szCs w:val="24"/>
                <w:lang w:val="en-AU"/>
              </w:rPr>
            </w:pPr>
          </w:p>
        </w:tc>
        <w:tc>
          <w:tcPr>
            <w:tcW w:w="6457" w:type="dxa"/>
            <w:shd w:val="clear" w:color="auto" w:fill="D9D9D9" w:themeFill="background1" w:themeFillShade="D9"/>
          </w:tcPr>
          <w:p w14:paraId="463D35F9" w14:textId="77777777" w:rsidR="0083140F" w:rsidRDefault="00000000">
            <w:r>
              <w:rPr>
                <w:rFonts w:eastAsia="Arial"/>
                <w:b/>
                <w:sz w:val="22"/>
              </w:rPr>
              <w:t>FISO 2.0 Dimensions</w:t>
            </w:r>
          </w:p>
        </w:tc>
        <w:tc>
          <w:tcPr>
            <w:tcW w:w="6966" w:type="dxa"/>
            <w:shd w:val="clear" w:color="auto" w:fill="D9D9D9" w:themeFill="background1" w:themeFillShade="D9"/>
          </w:tcPr>
          <w:p w14:paraId="354C75F0" w14:textId="77777777" w:rsidR="00000000" w:rsidRPr="009B5728" w:rsidRDefault="00000000" w:rsidP="000F7465">
            <w:pPr>
              <w:pStyle w:val="Heading3"/>
              <w:spacing w:before="0" w:after="0"/>
              <w:ind w:right="-374"/>
              <w:rPr>
                <w:szCs w:val="24"/>
                <w:lang w:val="en-AU"/>
              </w:rPr>
            </w:pPr>
            <w:r w:rsidRPr="009B5728">
              <w:rPr>
                <w:szCs w:val="24"/>
                <w:lang w:val="en-AU"/>
              </w:rPr>
              <w:t xml:space="preserve">Self-evaluation </w:t>
            </w:r>
            <w:r w:rsidRPr="009B5728">
              <w:rPr>
                <w:szCs w:val="24"/>
                <w:lang w:val="en-AU"/>
              </w:rPr>
              <w:t>level</w:t>
            </w:r>
          </w:p>
        </w:tc>
      </w:tr>
      <w:tr w:rsidR="0083140F" w14:paraId="36483714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FFD062"/>
          </w:tcPr>
          <w:p w14:paraId="4ECEA405" w14:textId="77777777" w:rsidR="00000000" w:rsidRPr="009B5728" w:rsidRDefault="00000000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Leadership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687730E0" w14:textId="77777777" w:rsidR="0083140F" w:rsidRDefault="00000000">
            <w:r>
              <w:rPr>
                <w:rFonts w:eastAsia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6966" w:type="dxa"/>
            <w:vMerge w:val="restart"/>
            <w:vAlign w:val="center"/>
          </w:tcPr>
          <w:p w14:paraId="3F9AF224" w14:textId="77777777" w:rsidR="0083140F" w:rsidRDefault="00000000">
            <w:r>
              <w:rPr>
                <w:rFonts w:eastAsia="Arial"/>
                <w:sz w:val="22"/>
              </w:rPr>
              <w:t>Evolving</w:t>
            </w:r>
          </w:p>
        </w:tc>
      </w:tr>
      <w:tr w:rsidR="0083140F" w14:paraId="7953444A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FFD062"/>
          </w:tcPr>
          <w:p w14:paraId="0B75D89B" w14:textId="77777777" w:rsidR="00000000" w:rsidRPr="009B5728" w:rsidRDefault="00000000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430359B9" w14:textId="77777777" w:rsidR="0083140F" w:rsidRDefault="00000000">
            <w:r>
              <w:rPr>
                <w:rFonts w:eastAsia="Arial"/>
                <w:sz w:val="22"/>
              </w:rPr>
              <w:t>Shared development of a culture of respect and collaboration with positive and supportive relationships between students and staff at the core</w:t>
            </w:r>
          </w:p>
        </w:tc>
        <w:tc>
          <w:tcPr>
            <w:tcW w:w="6966" w:type="dxa"/>
            <w:vMerge/>
          </w:tcPr>
          <w:p w14:paraId="7295D683" w14:textId="77777777" w:rsidR="00000000" w:rsidRPr="009B5728" w:rsidRDefault="00000000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0A6FCFE2" w14:textId="77777777" w:rsidR="0083140F" w:rsidRDefault="0083140F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83140F" w14:paraId="4996DD38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58BFBD"/>
          </w:tcPr>
          <w:p w14:paraId="7E86D475" w14:textId="77777777" w:rsidR="00000000" w:rsidRPr="009B5728" w:rsidRDefault="00000000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Teaching and learning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15919806" w14:textId="77777777" w:rsidR="0083140F" w:rsidRDefault="00000000">
            <w:r>
              <w:rPr>
                <w:rFonts w:eastAsia="Arial"/>
                <w:sz w:val="22"/>
              </w:rPr>
              <w:t>Documented teaching and learning program based on the Victorian Curriculum and senior secondary pathways, incorporating extra-</w:t>
            </w:r>
            <w:proofErr w:type="spellStart"/>
            <w:r>
              <w:rPr>
                <w:rFonts w:eastAsia="Arial"/>
                <w:sz w:val="22"/>
              </w:rPr>
              <w:t>curricula</w:t>
            </w:r>
            <w:proofErr w:type="spellEnd"/>
            <w:r>
              <w:rPr>
                <w:rFonts w:eastAsia="Arial"/>
                <w:sz w:val="22"/>
              </w:rPr>
              <w:t xml:space="preserve"> programs</w:t>
            </w:r>
          </w:p>
        </w:tc>
        <w:tc>
          <w:tcPr>
            <w:tcW w:w="6966" w:type="dxa"/>
            <w:vMerge w:val="restart"/>
            <w:vAlign w:val="center"/>
          </w:tcPr>
          <w:p w14:paraId="0D81DA0D" w14:textId="77777777" w:rsidR="0083140F" w:rsidRDefault="00000000">
            <w:r>
              <w:rPr>
                <w:rFonts w:eastAsia="Arial"/>
                <w:sz w:val="22"/>
              </w:rPr>
              <w:t>Embedding</w:t>
            </w:r>
          </w:p>
        </w:tc>
      </w:tr>
      <w:tr w:rsidR="0083140F" w14:paraId="096FB310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58BFBD"/>
          </w:tcPr>
          <w:p w14:paraId="3BB18589" w14:textId="77777777" w:rsidR="00000000" w:rsidRPr="009B5728" w:rsidRDefault="00000000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245CAA98" w14:textId="77777777" w:rsidR="0083140F" w:rsidRDefault="00000000">
            <w:r>
              <w:rPr>
                <w:rFonts w:eastAsia="Arial"/>
                <w:sz w:val="22"/>
              </w:rPr>
              <w:t>Use of common and subject-specific high impact teaching and learning strategies as part of a shared and responsive teaching and learning model implemented through positive and supportive student-staff relationships</w:t>
            </w:r>
          </w:p>
        </w:tc>
        <w:tc>
          <w:tcPr>
            <w:tcW w:w="6966" w:type="dxa"/>
            <w:vMerge/>
          </w:tcPr>
          <w:p w14:paraId="12094A2F" w14:textId="77777777" w:rsidR="00000000" w:rsidRPr="009B5728" w:rsidRDefault="00000000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1D3512F4" w14:textId="77777777" w:rsidR="0083140F" w:rsidRDefault="0083140F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83140F" w14:paraId="5B1BB16E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57B5E7"/>
          </w:tcPr>
          <w:p w14:paraId="1824DF94" w14:textId="77777777" w:rsidR="00000000" w:rsidRPr="009B5728" w:rsidRDefault="00000000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Assessment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59A1E870" w14:textId="77777777" w:rsidR="0083140F" w:rsidRDefault="00000000">
            <w:r>
              <w:rPr>
                <w:rFonts w:eastAsia="Arial"/>
                <w:sz w:val="22"/>
              </w:rPr>
              <w:t xml:space="preserve">Systematic use of data and evidence to drive the </w:t>
            </w:r>
            <w:proofErr w:type="spellStart"/>
            <w:r>
              <w:rPr>
                <w:rFonts w:eastAsia="Arial"/>
                <w:sz w:val="22"/>
              </w:rPr>
              <w:t>prioritisation</w:t>
            </w:r>
            <w:proofErr w:type="spellEnd"/>
            <w:r>
              <w:rPr>
                <w:rFonts w:eastAsia="Arial"/>
                <w:sz w:val="22"/>
              </w:rPr>
              <w:t>, development, and implementation of actions in schools and classrooms.</w:t>
            </w:r>
          </w:p>
        </w:tc>
        <w:tc>
          <w:tcPr>
            <w:tcW w:w="6966" w:type="dxa"/>
            <w:vMerge w:val="restart"/>
            <w:vAlign w:val="center"/>
          </w:tcPr>
          <w:p w14:paraId="335EE8F4" w14:textId="77777777" w:rsidR="0083140F" w:rsidRDefault="00000000">
            <w:r>
              <w:rPr>
                <w:rFonts w:eastAsia="Arial"/>
                <w:sz w:val="22"/>
              </w:rPr>
              <w:t>Evolving</w:t>
            </w:r>
          </w:p>
        </w:tc>
      </w:tr>
      <w:tr w:rsidR="0083140F" w14:paraId="5ED4BAF3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57B5E7"/>
          </w:tcPr>
          <w:p w14:paraId="5072AC2A" w14:textId="77777777" w:rsidR="00000000" w:rsidRPr="009B5728" w:rsidRDefault="00000000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5A43B3FA" w14:textId="77777777" w:rsidR="0083140F" w:rsidRDefault="00000000">
            <w:r>
              <w:rPr>
                <w:rFonts w:eastAsia="Arial"/>
                <w:sz w:val="22"/>
              </w:rPr>
              <w:t>Systematic use of assessment strategies and measurement practices to obtain and provide feedback on student learning growth, attainment and wellbeing capabilities</w:t>
            </w:r>
          </w:p>
        </w:tc>
        <w:tc>
          <w:tcPr>
            <w:tcW w:w="6966" w:type="dxa"/>
            <w:vMerge/>
          </w:tcPr>
          <w:p w14:paraId="725C6D29" w14:textId="77777777" w:rsidR="00000000" w:rsidRPr="009B5728" w:rsidRDefault="00000000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2214DC43" w14:textId="77777777" w:rsidR="0083140F" w:rsidRDefault="0083140F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83140F" w14:paraId="17C22B73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F8CDDB"/>
          </w:tcPr>
          <w:p w14:paraId="1552C3F8" w14:textId="77777777" w:rsidR="00000000" w:rsidRPr="009B5728" w:rsidRDefault="00000000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Engagement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2334BB77" w14:textId="77777777" w:rsidR="0083140F" w:rsidRDefault="00000000">
            <w:r>
              <w:rPr>
                <w:rFonts w:eastAsia="Arial"/>
                <w:sz w:val="22"/>
              </w:rPr>
              <w:t>Strong relationships and active partnerships between schools and families/carers, communities, and organisations to strengthen students’ participation and  engagement in school</w:t>
            </w:r>
          </w:p>
        </w:tc>
        <w:tc>
          <w:tcPr>
            <w:tcW w:w="6966" w:type="dxa"/>
            <w:vMerge w:val="restart"/>
            <w:vAlign w:val="center"/>
          </w:tcPr>
          <w:p w14:paraId="39088AD0" w14:textId="77777777" w:rsidR="0083140F" w:rsidRDefault="00000000">
            <w:r>
              <w:rPr>
                <w:rFonts w:eastAsia="Arial"/>
                <w:sz w:val="22"/>
              </w:rPr>
              <w:t>Embedding</w:t>
            </w:r>
          </w:p>
        </w:tc>
      </w:tr>
      <w:tr w:rsidR="0083140F" w14:paraId="51FE58B7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F8CDDB"/>
          </w:tcPr>
          <w:p w14:paraId="0F09A51C" w14:textId="77777777" w:rsidR="00000000" w:rsidRPr="009B5728" w:rsidRDefault="00000000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000FDDD8" w14:textId="77777777" w:rsidR="0083140F" w:rsidRDefault="00000000">
            <w:r>
              <w:rPr>
                <w:rFonts w:eastAsia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6966" w:type="dxa"/>
            <w:vMerge/>
          </w:tcPr>
          <w:p w14:paraId="7BBE638F" w14:textId="77777777" w:rsidR="00000000" w:rsidRPr="009B5728" w:rsidRDefault="00000000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259E3E06" w14:textId="77777777" w:rsidR="0083140F" w:rsidRDefault="0083140F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6457"/>
        <w:gridCol w:w="6966"/>
      </w:tblGrid>
      <w:tr w:rsidR="0083140F" w14:paraId="0A54D02C" w14:textId="77777777" w:rsidTr="007D6A36">
        <w:trPr>
          <w:cantSplit/>
          <w:trHeight w:val="101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shd w:val="clear" w:color="auto" w:fill="D2ACD0"/>
          </w:tcPr>
          <w:p w14:paraId="42BE21FA" w14:textId="77777777" w:rsidR="00000000" w:rsidRPr="009B5728" w:rsidRDefault="00000000" w:rsidP="00363D8E">
            <w:pPr>
              <w:rPr>
                <w:b/>
                <w:bCs/>
                <w:color w:val="53565A"/>
                <w:sz w:val="24"/>
                <w:szCs w:val="24"/>
                <w:lang w:val="en-AU"/>
              </w:rPr>
            </w:pPr>
            <w:r w:rsidRPr="009B5728">
              <w:rPr>
                <w:b/>
                <w:bCs/>
                <w:color w:val="000000"/>
                <w:sz w:val="24"/>
                <w:szCs w:val="24"/>
                <w:lang w:val="en-AU"/>
              </w:rPr>
              <w:t>Support and resources</w:t>
            </w: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132A5DB2" w14:textId="77777777" w:rsidR="0083140F" w:rsidRDefault="00000000">
            <w:r>
              <w:rPr>
                <w:rFonts w:eastAsia="Arial"/>
                <w:sz w:val="22"/>
              </w:rPr>
              <w:t xml:space="preserve">Responsive, tiered and </w:t>
            </w:r>
            <w:proofErr w:type="spellStart"/>
            <w:r>
              <w:rPr>
                <w:rFonts w:eastAsia="Arial"/>
                <w:sz w:val="22"/>
              </w:rPr>
              <w:t>contextualised</w:t>
            </w:r>
            <w:proofErr w:type="spellEnd"/>
            <w:r>
              <w:rPr>
                <w:rFonts w:eastAsia="Arial"/>
                <w:sz w:val="22"/>
              </w:rPr>
              <w:t xml:space="preserve"> approaches and strong relationships to support student learning, wellbeing and inclusion</w:t>
            </w:r>
          </w:p>
        </w:tc>
        <w:tc>
          <w:tcPr>
            <w:tcW w:w="6966" w:type="dxa"/>
            <w:vMerge w:val="restart"/>
            <w:vAlign w:val="center"/>
          </w:tcPr>
          <w:p w14:paraId="5B594264" w14:textId="77777777" w:rsidR="0083140F" w:rsidRDefault="00000000">
            <w:r>
              <w:rPr>
                <w:rFonts w:eastAsia="Arial"/>
                <w:sz w:val="22"/>
              </w:rPr>
              <w:t>Embedding</w:t>
            </w:r>
          </w:p>
        </w:tc>
      </w:tr>
      <w:tr w:rsidR="0083140F" w14:paraId="52366EAC" w14:textId="77777777" w:rsidTr="007D6A36">
        <w:trPr>
          <w:cantSplit/>
          <w:trHeight w:val="200"/>
        </w:trPr>
        <w:tc>
          <w:tcPr>
            <w:tcW w:w="1697" w:type="dxa"/>
            <w:vMerge/>
            <w:shd w:val="clear" w:color="auto" w:fill="D2ACD0"/>
          </w:tcPr>
          <w:p w14:paraId="72C2D34A" w14:textId="77777777" w:rsidR="00000000" w:rsidRPr="009B5728" w:rsidRDefault="00000000" w:rsidP="00581393">
            <w:pPr>
              <w:pStyle w:val="Heading4"/>
              <w:shd w:val="clear" w:color="auto" w:fill="62BFEB"/>
              <w:spacing w:before="150" w:after="150"/>
              <w:ind w:left="113" w:right="113"/>
              <w:jc w:val="center"/>
              <w:rPr>
                <w:rFonts w:ascii="Arial" w:hAnsi="Arial" w:cs="Arial"/>
                <w:b/>
                <w:bCs/>
                <w:color w:val="53565A"/>
                <w:sz w:val="24"/>
                <w:szCs w:val="24"/>
                <w:lang w:val="en-AU"/>
              </w:rPr>
            </w:pPr>
          </w:p>
        </w:tc>
        <w:tc>
          <w:tcPr>
            <w:tcW w:w="6457" w:type="dxa"/>
            <w:tcBorders>
              <w:left w:val="single" w:sz="4" w:space="0" w:color="auto"/>
            </w:tcBorders>
          </w:tcPr>
          <w:p w14:paraId="3730BDA3" w14:textId="77777777" w:rsidR="0083140F" w:rsidRDefault="00000000">
            <w:r>
              <w:rPr>
                <w:rFonts w:eastAsia="Arial"/>
                <w:sz w:val="22"/>
              </w:rPr>
              <w:t>Effective use of resources and active partnerships with families/carers, specialist providers and community organisations to provide responsive support to students</w:t>
            </w:r>
          </w:p>
        </w:tc>
        <w:tc>
          <w:tcPr>
            <w:tcW w:w="6966" w:type="dxa"/>
            <w:vMerge/>
          </w:tcPr>
          <w:p w14:paraId="63E7E483" w14:textId="77777777" w:rsidR="00000000" w:rsidRPr="009B5728" w:rsidRDefault="00000000" w:rsidP="00581393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0D40AAB5" w14:textId="77777777" w:rsidR="0083140F" w:rsidRDefault="0083140F"/>
    <w:tbl>
      <w:tblPr>
        <w:tblStyle w:val="TableGrid"/>
        <w:tblW w:w="15120" w:type="dxa"/>
        <w:tblInd w:w="-4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05"/>
        <w:gridCol w:w="11215"/>
      </w:tblGrid>
      <w:tr w:rsidR="0083140F" w14:paraId="595F3A5F" w14:textId="77777777" w:rsidTr="00A84052">
        <w:trPr>
          <w:trHeight w:val="15"/>
        </w:trPr>
        <w:tc>
          <w:tcPr>
            <w:tcW w:w="3905" w:type="dxa"/>
            <w:shd w:val="clear" w:color="auto" w:fill="D9D9D9" w:themeFill="background1" w:themeFillShade="D9"/>
          </w:tcPr>
          <w:p w14:paraId="04E19CA7" w14:textId="77777777" w:rsidR="0083140F" w:rsidRDefault="00000000">
            <w:r>
              <w:rPr>
                <w:rFonts w:eastAsia="Arial"/>
                <w:b/>
                <w:sz w:val="22"/>
              </w:rPr>
              <w:t>Future planning</w:t>
            </w:r>
          </w:p>
        </w:tc>
        <w:tc>
          <w:tcPr>
            <w:tcW w:w="11215" w:type="dxa"/>
          </w:tcPr>
          <w:p w14:paraId="5E435D4D" w14:textId="77777777" w:rsidR="0083140F" w:rsidRDefault="00000000">
            <w:r>
              <w:rPr>
                <w:rFonts w:eastAsia="Arial"/>
                <w:sz w:val="22"/>
              </w:rPr>
              <w:t xml:space="preserve">Whilst we have made some really good in-roads on the Staff Survey, there is still a lot of growth to go. </w:t>
            </w:r>
            <w:r>
              <w:rPr>
                <w:rFonts w:eastAsia="Arial"/>
                <w:sz w:val="22"/>
              </w:rPr>
              <w:br/>
              <w:t xml:space="preserve">                                                                          GOAL        ACHIEVEMENT</w:t>
            </w:r>
            <w:r>
              <w:rPr>
                <w:rFonts w:eastAsia="Arial"/>
                <w:sz w:val="22"/>
              </w:rPr>
              <w:br/>
              <w:t>Teacher Collaboration                                        50%                57%</w:t>
            </w:r>
            <w:r>
              <w:rPr>
                <w:rFonts w:eastAsia="Arial"/>
                <w:sz w:val="22"/>
              </w:rPr>
              <w:br/>
              <w:t>Time to share pedagogical knowledge               45%                63%</w:t>
            </w:r>
            <w:r>
              <w:rPr>
                <w:rFonts w:eastAsia="Arial"/>
                <w:sz w:val="22"/>
              </w:rPr>
              <w:br/>
              <w:t>Understand how to analyse data                        50%                71%</w:t>
            </w:r>
            <w:r>
              <w:rPr>
                <w:rFonts w:eastAsia="Arial"/>
                <w:sz w:val="22"/>
              </w:rPr>
              <w:br/>
              <w:t>Professional learning to improve practice           55%                88%</w:t>
            </w:r>
            <w:r>
              <w:rPr>
                <w:rFonts w:eastAsia="Arial"/>
                <w:sz w:val="22"/>
              </w:rPr>
              <w:br/>
              <w:t>Believe evaluating impact improves practice      70%                80%</w:t>
            </w:r>
            <w:r>
              <w:rPr>
                <w:rFonts w:eastAsia="Arial"/>
                <w:sz w:val="22"/>
              </w:rPr>
              <w:br/>
              <w:t>Discuss problems of practice                               65%               60%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 xml:space="preserve">We are tracking well against our 4 year plans. As there has been a change in the way that NAPLAN results are reported. Our goals for 1.1 have had to change.  </w:t>
            </w:r>
            <w:r>
              <w:rPr>
                <w:rFonts w:eastAsia="Arial"/>
                <w:sz w:val="22"/>
              </w:rPr>
              <w:br/>
              <w:t>We have increased the relative growth of students in Year 5 from 2023 to 2024</w:t>
            </w:r>
            <w:r>
              <w:rPr>
                <w:rFonts w:eastAsia="Arial"/>
                <w:sz w:val="22"/>
              </w:rPr>
              <w:br/>
              <w:t xml:space="preserve">                               2023         2024</w:t>
            </w:r>
            <w:r>
              <w:rPr>
                <w:rFonts w:eastAsia="Arial"/>
                <w:sz w:val="22"/>
              </w:rPr>
              <w:br/>
              <w:t>Numeracy               24%           33%</w:t>
            </w:r>
            <w:r>
              <w:rPr>
                <w:rFonts w:eastAsia="Arial"/>
                <w:sz w:val="22"/>
              </w:rPr>
              <w:br/>
              <w:t>Reading                  22%           28%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 xml:space="preserve">Our goal was to increase the </w:t>
            </w:r>
            <w:proofErr w:type="spellStart"/>
            <w:r>
              <w:rPr>
                <w:rFonts w:eastAsia="Arial"/>
                <w:sz w:val="22"/>
              </w:rPr>
              <w:t>percnetage</w:t>
            </w:r>
            <w:proofErr w:type="spellEnd"/>
            <w:r>
              <w:rPr>
                <w:rFonts w:eastAsia="Arial"/>
                <w:sz w:val="22"/>
              </w:rPr>
              <w:t xml:space="preserve"> of Year 5 student in the top two NAPLAN bands:</w:t>
            </w:r>
            <w:r>
              <w:rPr>
                <w:rFonts w:eastAsia="Arial"/>
                <w:sz w:val="22"/>
              </w:rPr>
              <w:br/>
              <w:t xml:space="preserve">                                                                              Students Exceeding or Strong </w:t>
            </w:r>
            <w:r>
              <w:rPr>
                <w:rFonts w:eastAsia="Arial"/>
                <w:sz w:val="22"/>
              </w:rPr>
              <w:br/>
              <w:t>Reading from 47% (2022) to 52%                              82% (2023) to 85% (2024)</w:t>
            </w:r>
            <w:r>
              <w:rPr>
                <w:rFonts w:eastAsia="Arial"/>
                <w:sz w:val="22"/>
              </w:rPr>
              <w:br/>
              <w:t>Writing from 33% (2022) to 38%                                76% (2023) to 84% (2024)</w:t>
            </w:r>
            <w:r>
              <w:rPr>
                <w:rFonts w:eastAsia="Arial"/>
                <w:sz w:val="22"/>
              </w:rPr>
              <w:br/>
              <w:t>Numeracy from 35% (2022) to 45%                           74% (2023) to 81% (2024)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Target 1.3</w:t>
            </w:r>
            <w:r>
              <w:rPr>
                <w:rFonts w:eastAsia="Arial"/>
                <w:sz w:val="22"/>
              </w:rPr>
              <w:br/>
              <w:t xml:space="preserve">By 2026, increase the percentage of positive responses on </w:t>
            </w:r>
            <w:proofErr w:type="spellStart"/>
            <w:r>
              <w:rPr>
                <w:rFonts w:eastAsia="Arial"/>
                <w:sz w:val="22"/>
              </w:rPr>
              <w:t>AtoSS</w:t>
            </w:r>
            <w:proofErr w:type="spellEnd"/>
            <w:r>
              <w:rPr>
                <w:rFonts w:eastAsia="Arial"/>
                <w:sz w:val="22"/>
              </w:rPr>
              <w:t xml:space="preserve"> Years 4–6 for: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 xml:space="preserve">Stimulated learning from 66% (2022) to 75%                           62% (2023) to 87% (2024)   </w:t>
            </w:r>
            <w:r>
              <w:rPr>
                <w:rFonts w:eastAsia="Arial"/>
                <w:sz w:val="22"/>
              </w:rPr>
              <w:br/>
              <w:t>Differentiated learning challenge from 78% (2022) to 85%      76% (2023) to 89% (2024)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Target 2.1</w:t>
            </w:r>
            <w:r>
              <w:rPr>
                <w:rFonts w:eastAsia="Arial"/>
                <w:sz w:val="22"/>
              </w:rPr>
              <w:br/>
              <w:t>By 2026, decrease the percentage of students with 20 or more days absent from 26% (2021) to 22%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lastRenderedPageBreak/>
              <w:t xml:space="preserve">                                                      2022         2023         2024</w:t>
            </w:r>
            <w:r>
              <w:rPr>
                <w:rFonts w:eastAsia="Arial"/>
                <w:sz w:val="22"/>
              </w:rPr>
              <w:br/>
              <w:t>20 or more days absences             39%         41%           29%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Target 2.2</w:t>
            </w:r>
            <w:r>
              <w:rPr>
                <w:rFonts w:eastAsia="Arial"/>
                <w:sz w:val="22"/>
              </w:rPr>
              <w:br/>
              <w:t xml:space="preserve">By 2026, increase the percentage of positive responses on </w:t>
            </w:r>
            <w:proofErr w:type="spellStart"/>
            <w:r>
              <w:rPr>
                <w:rFonts w:eastAsia="Arial"/>
                <w:sz w:val="22"/>
              </w:rPr>
              <w:t>AtoSS</w:t>
            </w:r>
            <w:proofErr w:type="spellEnd"/>
            <w:r>
              <w:rPr>
                <w:rFonts w:eastAsia="Arial"/>
                <w:sz w:val="22"/>
              </w:rPr>
              <w:t xml:space="preserve"> Years 4–6 for:</w:t>
            </w:r>
            <w:r>
              <w:rPr>
                <w:rFonts w:eastAsia="Arial"/>
                <w:sz w:val="22"/>
              </w:rPr>
              <w:br/>
              <w:t>Motivation and interest from 72% (2022) to 80%                            73% (2023) to 83% (2024)</w:t>
            </w:r>
            <w:r>
              <w:rPr>
                <w:rFonts w:eastAsia="Arial"/>
                <w:sz w:val="22"/>
              </w:rPr>
              <w:br/>
              <w:t>Student voice and agency from 53% (2022) to 70%                       60% (2023) to 75% (2024)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Target 2.3</w:t>
            </w:r>
            <w:r>
              <w:rPr>
                <w:rFonts w:eastAsia="Arial"/>
                <w:sz w:val="22"/>
              </w:rPr>
              <w:br/>
              <w:t>By 2026, increase the percentage of positive responses in SSS for:</w:t>
            </w:r>
            <w:r>
              <w:rPr>
                <w:rFonts w:eastAsia="Arial"/>
                <w:sz w:val="22"/>
              </w:rPr>
              <w:br/>
              <w:t>Use student feedback to improve practice from 48% (2021) to 60%  48% (2023) to 51% (2024)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2025 focus</w:t>
            </w:r>
            <w:r>
              <w:rPr>
                <w:rFonts w:eastAsia="Arial"/>
                <w:sz w:val="22"/>
              </w:rPr>
              <w:br/>
              <w:t>* Increase percentage of students in Strong or Exceeding NAPLAN</w:t>
            </w:r>
            <w:r>
              <w:rPr>
                <w:rFonts w:eastAsia="Arial"/>
                <w:sz w:val="22"/>
              </w:rPr>
              <w:br/>
              <w:t>* Increase the number of students with medium and high growth</w:t>
            </w:r>
            <w:r>
              <w:rPr>
                <w:rFonts w:eastAsia="Arial"/>
                <w:sz w:val="22"/>
              </w:rPr>
              <w:br/>
              <w:t>* Decrease number of students with low growth</w:t>
            </w:r>
            <w:r>
              <w:rPr>
                <w:rFonts w:eastAsia="Arial"/>
                <w:sz w:val="22"/>
              </w:rPr>
              <w:br/>
              <w:t>* Increase % of students with At or Above expected growth in Teacher Judgements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* Develop teacher capacity with a focus on graduate and early stage teachers</w:t>
            </w:r>
            <w:r>
              <w:rPr>
                <w:rFonts w:eastAsia="Arial"/>
                <w:sz w:val="22"/>
              </w:rPr>
              <w:br/>
              <w:t>* Implement Phonics Program</w:t>
            </w:r>
            <w:r>
              <w:rPr>
                <w:rFonts w:eastAsia="Arial"/>
                <w:sz w:val="22"/>
              </w:rPr>
              <w:br/>
              <w:t>* Increase the number of students identified for additional support</w:t>
            </w:r>
            <w:r>
              <w:rPr>
                <w:rFonts w:eastAsia="Arial"/>
                <w:sz w:val="22"/>
              </w:rPr>
              <w:br/>
              <w:t>* Implement maths 2.0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>* Identify students requiring additional assistance</w:t>
            </w:r>
            <w:r>
              <w:rPr>
                <w:rFonts w:eastAsia="Arial"/>
                <w:sz w:val="22"/>
              </w:rPr>
              <w:br/>
              <w:t>* Increase teacher knowledge of mental health literacy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br/>
              <w:t xml:space="preserve">  </w:t>
            </w:r>
          </w:p>
        </w:tc>
      </w:tr>
      <w:tr w:rsidR="0083140F" w14:paraId="7470505C" w14:textId="77777777" w:rsidTr="00A84052">
        <w:trPr>
          <w:trHeight w:val="128"/>
        </w:trPr>
        <w:tc>
          <w:tcPr>
            <w:tcW w:w="3905" w:type="dxa"/>
            <w:shd w:val="clear" w:color="auto" w:fill="D9D9D9" w:themeFill="background1" w:themeFillShade="D9"/>
          </w:tcPr>
          <w:p w14:paraId="354F41D4" w14:textId="77777777" w:rsidR="00000000" w:rsidRPr="009B5728" w:rsidRDefault="00000000" w:rsidP="00687FB5">
            <w:pPr>
              <w:pStyle w:val="ESBodyText"/>
              <w:rPr>
                <w:b/>
                <w:sz w:val="20"/>
                <w:lang w:val="en-AU"/>
              </w:rPr>
            </w:pPr>
            <w:r w:rsidRPr="009B5728">
              <w:rPr>
                <w:b/>
                <w:sz w:val="20"/>
                <w:lang w:val="en-AU"/>
              </w:rPr>
              <w:lastRenderedPageBreak/>
              <w:t>Documents that support this plan</w:t>
            </w:r>
          </w:p>
        </w:tc>
        <w:tc>
          <w:tcPr>
            <w:tcW w:w="11215" w:type="dxa"/>
          </w:tcPr>
          <w:p w14:paraId="3C9D2A66" w14:textId="77777777" w:rsidR="00000000" w:rsidRPr="009B5728" w:rsidRDefault="00000000" w:rsidP="00EE49B9">
            <w:pPr>
              <w:pStyle w:val="ESBodyText"/>
              <w:rPr>
                <w:sz w:val="20"/>
                <w:lang w:val="en-AU"/>
              </w:rPr>
            </w:pPr>
          </w:p>
        </w:tc>
      </w:tr>
    </w:tbl>
    <w:p w14:paraId="13C7DA4D" w14:textId="77777777" w:rsidR="00000000" w:rsidRPr="009B5728" w:rsidRDefault="00000000" w:rsidP="004E7357">
      <w:pPr>
        <w:pStyle w:val="ESBodyText"/>
        <w:rPr>
          <w:lang w:val="en-AU"/>
        </w:rPr>
      </w:pPr>
    </w:p>
    <w:sectPr w:rsidR="00C703C5" w:rsidRPr="009B5728" w:rsidSect="00B2115D">
      <w:headerReference w:type="even" r:id="rId19"/>
      <w:headerReference w:type="default" r:id="rId20"/>
      <w:footerReference w:type="default" r:id="rId21"/>
      <w:headerReference w:type="first" r:id="rId22"/>
      <w:pgSz w:w="16838" w:h="11906" w:orient="landscape" w:code="9"/>
      <w:pgMar w:top="1304" w:right="2036" w:bottom="1240" w:left="1304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ACE5" w14:textId="77777777" w:rsidR="00C14808" w:rsidRDefault="00C14808">
      <w:pPr>
        <w:spacing w:after="0" w:line="240" w:lineRule="auto"/>
      </w:pPr>
      <w:r>
        <w:separator/>
      </w:r>
    </w:p>
  </w:endnote>
  <w:endnote w:type="continuationSeparator" w:id="0">
    <w:p w14:paraId="56DB0CC0" w14:textId="77777777" w:rsidR="00C14808" w:rsidRDefault="00C1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235F" w14:textId="77777777" w:rsidR="00000000" w:rsidRDefault="00000000" w:rsidP="002953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CF9B7FF" w14:textId="77777777" w:rsidR="00000000" w:rsidRDefault="00000000" w:rsidP="007B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57B2" w14:textId="77777777" w:rsidR="00000000" w:rsidRPr="003E29B5" w:rsidRDefault="00000000" w:rsidP="008766A4">
    <w:r>
      <w:rPr>
        <w:noProof/>
      </w:rPr>
      <w:drawing>
        <wp:anchor distT="0" distB="0" distL="114300" distR="114300" simplePos="0" relativeHeight="251667456" behindDoc="1" locked="0" layoutInCell="1" allowOverlap="1" wp14:anchorId="64FAF269" wp14:editId="0A328741">
          <wp:simplePos x="0" y="0"/>
          <wp:positionH relativeFrom="column">
            <wp:posOffset>-140335</wp:posOffset>
          </wp:positionH>
          <wp:positionV relativeFrom="paragraph">
            <wp:posOffset>86360</wp:posOffset>
          </wp:positionV>
          <wp:extent cx="1980000" cy="590400"/>
          <wp:effectExtent l="0" t="0" r="1270" b="635"/>
          <wp:wrapNone/>
          <wp:docPr id="14" name="Picture 14" descr="Education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Education Stat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29B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B40F" w14:textId="77777777" w:rsidR="00000000" w:rsidRDefault="000000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7D44" w14:textId="77777777" w:rsidR="00000000" w:rsidRPr="00B4442D" w:rsidRDefault="00000000" w:rsidP="00DD6247">
    <w:pPr>
      <w:pStyle w:val="ESSubheading1"/>
      <w:ind w:firstLine="567"/>
      <w:rPr>
        <w:sz w:val="15"/>
        <w:szCs w:val="15"/>
      </w:rPr>
    </w:pPr>
    <w:r w:rsidRPr="00B4442D">
      <w:rPr>
        <w:noProof/>
        <w:sz w:val="15"/>
        <w:szCs w:val="15"/>
      </w:rPr>
      <w:t>Thomas Mitchell Primary School (5294) - 2025 - AIP - Self Evaluation Summary</w:t>
    </w:r>
    <w:r w:rsidRPr="00B4442D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66432" behindDoc="1" locked="0" layoutInCell="1" allowOverlap="1" wp14:anchorId="238716D7" wp14:editId="1083F69F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D5905" w14:textId="77777777" w:rsidR="00000000" w:rsidRPr="007B2B29" w:rsidRDefault="00000000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FBE7" w14:textId="77777777" w:rsidR="00C14808" w:rsidRDefault="00C14808">
      <w:pPr>
        <w:spacing w:after="0" w:line="240" w:lineRule="auto"/>
      </w:pPr>
      <w:r>
        <w:separator/>
      </w:r>
    </w:p>
  </w:footnote>
  <w:footnote w:type="continuationSeparator" w:id="0">
    <w:p w14:paraId="1A3D057E" w14:textId="77777777" w:rsidR="00C14808" w:rsidRDefault="00C1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8DED" w14:textId="77777777" w:rsidR="00000000" w:rsidRDefault="00000000">
    <w:r>
      <w:pict w14:anchorId="5B5B7B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margin-left:0;margin-top:0;width:500pt;height:180pt;rotation:-40;z-index:251659264;mso-position-horizontal:center;mso-position-horizontal-relative:page;mso-position-vertical:center;mso-position-vertical-relative:page" fillcolor="#d3d3d3" strokecolor="#d3d3d3">
          <v:textpath style="font-family:&quot;Arial&quot;" string="Draf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F6F9" w14:textId="77777777" w:rsidR="00000000" w:rsidRDefault="00000000">
    <w:pPr>
      <w:pStyle w:val="Header"/>
    </w:pPr>
    <w:r w:rsidRPr="000C104E"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5FA98A24" wp14:editId="06256E09">
          <wp:simplePos x="0" y="0"/>
          <wp:positionH relativeFrom="column">
            <wp:posOffset>7620578</wp:posOffset>
          </wp:positionH>
          <wp:positionV relativeFrom="paragraph">
            <wp:posOffset>-378460</wp:posOffset>
          </wp:positionV>
          <wp:extent cx="1991003" cy="7430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CF5FFC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715" w14:textId="77777777" w:rsidR="00000000" w:rsidRDefault="00000000">
    <w:r>
      <w:pict w14:anchorId="4F7B8B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style="position:absolute;margin-left:0;margin-top:0;width:500pt;height:180pt;rotation:-40;z-index:251658240;mso-position-horizontal:center;mso-position-horizontal-relative:page;mso-position-vertical:center;mso-position-vertical-relative:page" fillcolor="#d3d3d3" strokecolor="#d3d3d3">
          <v:textpath style="font-family:&quot;Arial&quot;" string="Draft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B0CC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AA3520" wp14:editId="09C4FF3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4628B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1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336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4AE5" w14:textId="77777777" w:rsidR="00000000" w:rsidRDefault="00000000">
    <w:r w:rsidRPr="000C104E">
      <w:rPr>
        <w:noProof/>
        <w:lang w:val="en-AU" w:eastAsia="en-AU"/>
      </w:rPr>
      <w:drawing>
        <wp:anchor distT="0" distB="0" distL="114300" distR="114300" simplePos="0" relativeHeight="251665408" behindDoc="1" locked="0" layoutInCell="1" allowOverlap="1" wp14:anchorId="657ECA39" wp14:editId="4C20DB3A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76B7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8F44D" wp14:editId="53E0EC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3E427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131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76FACAA6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C3147E9C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848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27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8C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ED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8A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A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4F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6138992">
    <w:abstractNumId w:val="10"/>
  </w:num>
  <w:num w:numId="2" w16cid:durableId="671418492">
    <w:abstractNumId w:val="8"/>
  </w:num>
  <w:num w:numId="3" w16cid:durableId="1836920861">
    <w:abstractNumId w:val="7"/>
  </w:num>
  <w:num w:numId="4" w16cid:durableId="670177638">
    <w:abstractNumId w:val="6"/>
  </w:num>
  <w:num w:numId="5" w16cid:durableId="251203957">
    <w:abstractNumId w:val="5"/>
  </w:num>
  <w:num w:numId="6" w16cid:durableId="1285119383">
    <w:abstractNumId w:val="9"/>
  </w:num>
  <w:num w:numId="7" w16cid:durableId="1918973116">
    <w:abstractNumId w:val="4"/>
  </w:num>
  <w:num w:numId="8" w16cid:durableId="1071924561">
    <w:abstractNumId w:val="3"/>
  </w:num>
  <w:num w:numId="9" w16cid:durableId="313418451">
    <w:abstractNumId w:val="2"/>
  </w:num>
  <w:num w:numId="10" w16cid:durableId="1365208515">
    <w:abstractNumId w:val="1"/>
  </w:num>
  <w:num w:numId="11" w16cid:durableId="1047685679">
    <w:abstractNumId w:val="0"/>
  </w:num>
  <w:num w:numId="12" w16cid:durableId="865605440">
    <w:abstractNumId w:val="11"/>
  </w:num>
  <w:num w:numId="13" w16cid:durableId="1626764915">
    <w:abstractNumId w:val="16"/>
  </w:num>
  <w:num w:numId="14" w16cid:durableId="406344409">
    <w:abstractNumId w:val="14"/>
  </w:num>
  <w:num w:numId="15" w16cid:durableId="1750230949">
    <w:abstractNumId w:val="15"/>
  </w:num>
  <w:num w:numId="16" w16cid:durableId="1134913070">
    <w:abstractNumId w:val="12"/>
  </w:num>
  <w:num w:numId="17" w16cid:durableId="1297834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0F"/>
    <w:rsid w:val="006122C8"/>
    <w:rsid w:val="0083140F"/>
    <w:rsid w:val="00AE372D"/>
    <w:rsid w:val="00C1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AFADBC0"/>
  <w15:docId w15:val="{124B2F53-0D4A-44B3-A605-10864D7D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153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uiPriority w:val="99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2449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5893E-65CA-45F0-871F-49D12BEB0F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Kathie Arnold</cp:lastModifiedBy>
  <cp:revision>2</cp:revision>
  <dcterms:created xsi:type="dcterms:W3CDTF">2025-07-29T07:19:00Z</dcterms:created>
  <dcterms:modified xsi:type="dcterms:W3CDTF">2025-07-29T07:19:00Z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